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8E" w:rsidRDefault="00E91D8E" w:rsidP="00E91D8E">
      <w:pPr>
        <w:pStyle w:val="a"/>
        <w:spacing w:line="240" w:lineRule="auto"/>
        <w:rPr>
          <w:rFonts w:ascii="Calibri" w:eastAsia="Calibri" w:hAnsi="Calibri"/>
          <w:color w:val="auto"/>
        </w:rPr>
      </w:pPr>
      <w:r>
        <w:rPr>
          <w:rFonts w:hint="cs"/>
          <w:rtl/>
        </w:rPr>
        <w:t>تقلب</w:t>
      </w:r>
      <w:r>
        <w:rPr>
          <w:rFonts w:hint="cs"/>
        </w:rPr>
        <w:t xml:space="preserve"> </w:t>
      </w:r>
      <w:r>
        <w:rPr>
          <w:rFonts w:hint="cs"/>
          <w:color w:val="auto"/>
          <w:rtl/>
        </w:rPr>
        <w:t>یکی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از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مهمترین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موضوعاتی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است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که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در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حسابداری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و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حسابرسی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صورت</w:t>
      </w:r>
      <w:r>
        <w:rPr>
          <w:rFonts w:hint="cs"/>
          <w:color w:val="auto"/>
          <w:rtl/>
        </w:rPr>
        <w:softHyphen/>
        <w:t>های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مالی</w:t>
      </w:r>
      <w:r>
        <w:rPr>
          <w:rFonts w:hint="cs"/>
          <w:color w:val="auto"/>
        </w:rPr>
        <w:t xml:space="preserve"> </w:t>
      </w:r>
      <w:r>
        <w:rPr>
          <w:rFonts w:hint="cs"/>
          <w:color w:val="auto"/>
          <w:rtl/>
        </w:rPr>
        <w:t>مطرح می</w:t>
      </w:r>
      <w:r>
        <w:rPr>
          <w:rFonts w:hint="cs"/>
          <w:color w:val="auto"/>
          <w:rtl/>
        </w:rPr>
        <w:softHyphen/>
        <w:t>شود</w:t>
      </w:r>
      <w:r>
        <w:rPr>
          <w:color w:val="auto"/>
        </w:rPr>
        <w:t>.</w:t>
      </w:r>
      <w:r>
        <w:rPr>
          <w:rFonts w:hint="cs"/>
          <w:color w:val="auto"/>
          <w:rtl/>
        </w:rPr>
        <w:t xml:space="preserve"> </w:t>
      </w:r>
      <w:r>
        <w:rPr>
          <w:rFonts w:ascii="Calibri" w:eastAsia="Calibri" w:hAnsi="Calibri" w:hint="cs"/>
          <w:color w:val="auto"/>
          <w:rtl/>
        </w:rPr>
        <w:t>این ایده که کنترل</w:t>
      </w:r>
      <w:r>
        <w:rPr>
          <w:rFonts w:ascii="Calibri" w:eastAsia="Calibri" w:hAnsi="Calibri" w:hint="cs"/>
          <w:color w:val="auto"/>
          <w:rtl/>
        </w:rPr>
        <w:softHyphen/>
        <w:t>های داخلی قوی، ریسک تقلب در صورت</w:t>
      </w:r>
      <w:r>
        <w:rPr>
          <w:rFonts w:ascii="Calibri" w:eastAsia="Calibri" w:hAnsi="Calibri" w:hint="cs"/>
          <w:color w:val="auto"/>
          <w:rtl/>
        </w:rPr>
        <w:softHyphen/>
        <w:t>های مالی را کاهش می</w:t>
      </w:r>
      <w:r>
        <w:rPr>
          <w:rFonts w:ascii="Calibri" w:eastAsia="Calibri" w:hAnsi="Calibri" w:hint="cs"/>
          <w:color w:val="auto"/>
          <w:rtl/>
        </w:rPr>
        <w:softHyphen/>
        <w:t>دهد،</w:t>
      </w:r>
      <w:r>
        <w:rPr>
          <w:rFonts w:ascii="Calibri" w:eastAsia="Calibri" w:hAnsi="Calibri" w:hint="cs"/>
          <w:color w:val="auto"/>
        </w:rPr>
        <w:t xml:space="preserve"> </w:t>
      </w:r>
      <w:r>
        <w:rPr>
          <w:rFonts w:ascii="Calibri" w:eastAsia="Calibri" w:hAnsi="Calibri" w:hint="cs"/>
          <w:color w:val="auto"/>
          <w:rtl/>
        </w:rPr>
        <w:t>مدت</w:t>
      </w:r>
      <w:r>
        <w:rPr>
          <w:rFonts w:ascii="Calibri" w:eastAsia="Calibri" w:hAnsi="Calibri" w:hint="cs"/>
          <w:color w:val="auto"/>
          <w:rtl/>
        </w:rPr>
        <w:softHyphen/>
        <w:t>هاست که بحث برانگیز بوده است.</w:t>
      </w:r>
      <w:r>
        <w:rPr>
          <w:rFonts w:ascii="Calibri" w:eastAsia="Calibri" w:hAnsi="Calibri" w:hint="cs"/>
          <w:color w:val="auto"/>
        </w:rPr>
        <w:t xml:space="preserve"> </w:t>
      </w:r>
      <w:r>
        <w:rPr>
          <w:rFonts w:hint="cs"/>
          <w:color w:val="auto"/>
          <w:rtl/>
        </w:rPr>
        <w:t xml:space="preserve">هدف این </w:t>
      </w:r>
      <w:r>
        <w:rPr>
          <w:rFonts w:hint="cs"/>
          <w:rtl/>
        </w:rPr>
        <w:t>پژوهش، بررسی رابطه بین ضعف کنترل</w:t>
      </w:r>
      <w:r>
        <w:rPr>
          <w:rFonts w:hint="cs"/>
          <w:rtl/>
        </w:rPr>
        <w:softHyphen/>
        <w:t>های داخلی با تقلب است و به این منظور اطلاعات مربوط به 90 شرکت فعال در بورس اوراق بهادار طی سال</w:t>
      </w:r>
      <w:r>
        <w:rPr>
          <w:rFonts w:hint="cs"/>
          <w:rtl/>
        </w:rPr>
        <w:softHyphen/>
        <w:t>های 1392 تا 1396 جمع</w:t>
      </w:r>
      <w:r>
        <w:rPr>
          <w:rFonts w:hint="cs"/>
          <w:rtl/>
        </w:rPr>
        <w:softHyphen/>
        <w:t>آوری و با استفاده از نرم افزار آماری ایویوز مورد تجزیه و تحلیل قرار گرفت. این پژوهش از لحاظ هدف کاربردی و از لحاظ طرح پژوهش از نوع نیمه تجربی می‌باشد و از نوع رگرسیون چند متغیره و داده</w:t>
      </w:r>
      <w:r>
        <w:rPr>
          <w:rFonts w:hint="cs"/>
          <w:rtl/>
        </w:rPr>
        <w:softHyphen/>
        <w:t>های تابلویی می</w:t>
      </w:r>
      <w:r>
        <w:rPr>
          <w:rFonts w:hint="cs"/>
          <w:rtl/>
        </w:rPr>
        <w:softHyphen/>
        <w:t>باشد. نتایج بدست آمده از تحقیق نشان داد، که در فرضیه، بین ضعف کنترل</w:t>
      </w:r>
      <w:r>
        <w:rPr>
          <w:rFonts w:hint="cs"/>
          <w:rtl/>
        </w:rPr>
        <w:softHyphen/>
        <w:t>های داخلی با تقلب در صورت</w:t>
      </w:r>
      <w:r>
        <w:rPr>
          <w:rFonts w:hint="cs"/>
          <w:rtl/>
        </w:rPr>
        <w:softHyphen/>
        <w:t>های مالی رابطه مثبت معنی</w:t>
      </w:r>
      <w:r>
        <w:rPr>
          <w:rFonts w:hint="cs"/>
          <w:rtl/>
        </w:rPr>
        <w:softHyphen/>
        <w:t>داری وجود دارد. در نتیجه فرضیه پژوهش پذیرفته شد. همچنین دربین متغیرهای کنترلی، متغیر مجازی سود تاثیرمنفی و معناداری بر متغیر وابسته تقلب دارد و اندازه حسابرسی بر متغیر وابسته تقلب تاثیرمثبت و معناداری دارد.</w:t>
      </w:r>
      <w:r>
        <w:rPr>
          <w:rFonts w:ascii="Calibri" w:eastAsia="Calibri" w:hAnsi="Calibri" w:hint="cs"/>
          <w:rtl/>
        </w:rPr>
        <w:t xml:space="preserve"> </w:t>
      </w:r>
    </w:p>
    <w:p w:rsidR="00E91D8E" w:rsidRDefault="00E91D8E" w:rsidP="00E91D8E">
      <w:pPr>
        <w:pStyle w:val="Heading1"/>
        <w:rPr>
          <w:rFonts w:hint="cs"/>
          <w:b/>
          <w:bCs/>
          <w:rtl/>
        </w:rPr>
      </w:pPr>
      <w:bookmarkStart w:id="0" w:name="_Toc18394114"/>
      <w:r>
        <w:rPr>
          <w:rFonts w:hint="cs"/>
          <w:b/>
          <w:bCs/>
          <w:rtl/>
        </w:rPr>
        <w:t>واژه</w:t>
      </w:r>
      <w:r>
        <w:rPr>
          <w:rFonts w:hint="cs"/>
          <w:b/>
          <w:bCs/>
          <w:rtl/>
        </w:rPr>
        <w:softHyphen/>
        <w:t xml:space="preserve">های کلیدی: </w:t>
      </w:r>
      <w:r>
        <w:rPr>
          <w:rFonts w:asciiTheme="minorHAnsi" w:eastAsiaTheme="minorEastAsia" w:hAnsiTheme="minorHAnsi" w:hint="cs"/>
          <w:color w:val="000000"/>
          <w:sz w:val="28"/>
          <w:szCs w:val="28"/>
          <w:rtl/>
        </w:rPr>
        <w:t>ضعف کنترل</w:t>
      </w:r>
      <w:r>
        <w:rPr>
          <w:rFonts w:asciiTheme="minorHAnsi" w:eastAsiaTheme="minorEastAsia" w:hAnsiTheme="minorHAnsi" w:hint="cs"/>
          <w:color w:val="000000"/>
          <w:sz w:val="28"/>
          <w:szCs w:val="28"/>
          <w:rtl/>
        </w:rPr>
        <w:softHyphen/>
        <w:t xml:space="preserve"> داخلی، تقلب، اندازه حسابرسی،</w:t>
      </w:r>
      <w:bookmarkEnd w:id="0"/>
      <w:r>
        <w:rPr>
          <w:rFonts w:hint="cs"/>
          <w:b/>
          <w:bCs/>
          <w:rtl/>
        </w:rPr>
        <w:t xml:space="preserve"> </w:t>
      </w:r>
      <w:r>
        <w:rPr>
          <w:rFonts w:asciiTheme="minorHAnsi" w:eastAsiaTheme="minorEastAsia" w:hAnsiTheme="minorHAnsi" w:hint="cs"/>
          <w:color w:val="000000"/>
          <w:sz w:val="28"/>
          <w:szCs w:val="28"/>
          <w:rtl/>
        </w:rPr>
        <w:t>کیفیت اقلام تعهدی</w:t>
      </w: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bidi w:val="0"/>
        <w:spacing w:after="0" w:line="240" w:lineRule="auto"/>
        <w:rPr>
          <w:rFonts w:cs="B Lotus"/>
          <w:b/>
          <w:bCs/>
          <w:color w:val="FF0000"/>
          <w:sz w:val="28"/>
          <w:szCs w:val="28"/>
          <w:rtl/>
        </w:rPr>
        <w:sectPr w:rsidR="00E91D8E">
          <w:footnotePr>
            <w:numRestart w:val="eachPage"/>
          </w:footnotePr>
          <w:pgSz w:w="11906" w:h="16838"/>
          <w:pgMar w:top="1701" w:right="1701" w:bottom="1701" w:left="1134" w:header="709" w:footer="709" w:gutter="0"/>
          <w:pgNumType w:fmt="arabicAlpha" w:start="1"/>
          <w:cols w:space="720"/>
          <w:bidi/>
          <w:rtlGutter/>
        </w:sectPr>
      </w:pPr>
    </w:p>
    <w:p w:rsidR="00E91D8E" w:rsidRDefault="00E91D8E" w:rsidP="00E91D8E">
      <w:pPr>
        <w:pStyle w:val="a"/>
        <w:spacing w:line="240" w:lineRule="auto"/>
        <w:rPr>
          <w:rFonts w:hint="cs"/>
          <w:b/>
          <w:bCs/>
          <w:color w:val="FF0000"/>
          <w:rtl/>
        </w:rPr>
      </w:pPr>
    </w:p>
    <w:p w:rsidR="00E91D8E" w:rsidRDefault="00E91D8E" w:rsidP="00E91D8E">
      <w:pPr>
        <w:bidi w:val="0"/>
        <w:spacing w:line="240" w:lineRule="auto"/>
        <w:jc w:val="both"/>
        <w:rPr>
          <w:rFonts w:ascii="Times New Roman" w:hAnsi="Times New Roman" w:cs="B Mitra" w:hint="cs"/>
          <w:sz w:val="24"/>
          <w:szCs w:val="24"/>
          <w:rtl/>
          <w:lang w:val="en"/>
        </w:rPr>
      </w:pPr>
    </w:p>
    <w:p w:rsidR="00E91D8E" w:rsidRDefault="00E91D8E" w:rsidP="00E91D8E">
      <w:pPr>
        <w:pStyle w:val="a"/>
        <w:spacing w:line="240" w:lineRule="auto"/>
        <w:rPr>
          <w:rFonts w:asciiTheme="minorHAnsi" w:hAnsiTheme="minorHAnsi"/>
          <w:b/>
          <w:bCs/>
        </w:rPr>
      </w:pPr>
    </w:p>
    <w:p w:rsidR="00E91D8E" w:rsidRDefault="00E91D8E" w:rsidP="00E91D8E">
      <w:pPr>
        <w:pStyle w:val="Title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فصل اول</w:t>
      </w:r>
    </w:p>
    <w:p w:rsidR="00E91D8E" w:rsidRDefault="00E91D8E" w:rsidP="00E91D8E">
      <w:pPr>
        <w:spacing w:after="0" w:line="240" w:lineRule="auto"/>
        <w:jc w:val="right"/>
        <w:rPr>
          <w:rFonts w:ascii="Times New Roman" w:eastAsia="Times New Roman" w:hAnsi="Times New Roman" w:cs="B Titr" w:hint="cs"/>
          <w:sz w:val="56"/>
          <w:szCs w:val="56"/>
          <w:rtl/>
        </w:rPr>
      </w:pPr>
      <w:r>
        <w:rPr>
          <w:rFonts w:ascii="Times New Roman" w:eastAsia="Times New Roman" w:hAnsi="Times New Roman" w:cs="B Titr" w:hint="cs"/>
          <w:sz w:val="56"/>
          <w:szCs w:val="56"/>
          <w:rtl/>
        </w:rPr>
        <w:t>کلیات پژوهش</w:t>
      </w:r>
    </w:p>
    <w:p w:rsidR="00E91D8E" w:rsidRDefault="00E91D8E" w:rsidP="00E91D8E">
      <w:pPr>
        <w:pStyle w:val="Heading1"/>
        <w:numPr>
          <w:ilvl w:val="1"/>
          <w:numId w:val="1"/>
        </w:numPr>
        <w:rPr>
          <w:rFonts w:hint="cs"/>
          <w:b/>
          <w:bCs/>
          <w:rtl/>
        </w:rPr>
      </w:pPr>
      <w:bookmarkStart w:id="1" w:name="_Toc18394115"/>
      <w:bookmarkStart w:id="2" w:name="_Toc11670297"/>
      <w:bookmarkStart w:id="3" w:name="_Toc534584461"/>
      <w:bookmarkStart w:id="4" w:name="_Toc534584163"/>
      <w:bookmarkStart w:id="5" w:name="_Toc532336041"/>
      <w:bookmarkStart w:id="6" w:name="_Toc491875113"/>
      <w:bookmarkStart w:id="7" w:name="_Toc481997448"/>
      <w:r>
        <w:rPr>
          <w:rFonts w:hint="cs"/>
          <w:b/>
          <w:bCs/>
          <w:rtl/>
        </w:rPr>
        <w:t>مقدمه</w:t>
      </w:r>
      <w:bookmarkEnd w:id="1"/>
      <w:bookmarkEnd w:id="2"/>
      <w:bookmarkEnd w:id="3"/>
      <w:bookmarkEnd w:id="4"/>
      <w:bookmarkEnd w:id="5"/>
      <w:bookmarkEnd w:id="6"/>
      <w:bookmarkEnd w:id="7"/>
    </w:p>
    <w:p w:rsidR="00E91D8E" w:rsidRDefault="00E91D8E" w:rsidP="00E91D8E">
      <w:pPr>
        <w:pStyle w:val="a"/>
        <w:spacing w:line="240" w:lineRule="auto"/>
        <w:rPr>
          <w:rFonts w:eastAsiaTheme="minorHAnsi" w:hint="cs"/>
          <w:rtl/>
        </w:rPr>
      </w:pPr>
      <w:r>
        <w:rPr>
          <w:rFonts w:hint="cs"/>
          <w:rtl/>
        </w:rPr>
        <w:t>در سال</w:t>
      </w:r>
      <w:r>
        <w:rPr>
          <w:rFonts w:hint="cs"/>
          <w:rtl/>
        </w:rPr>
        <w:softHyphen/>
        <w:t>های اخیر، به موضوع تقلب در گزارشگری و حسابداری مالی توجه ویژه</w:t>
      </w:r>
      <w:r>
        <w:rPr>
          <w:rFonts w:hint="cs"/>
          <w:rtl/>
        </w:rPr>
        <w:softHyphen/>
        <w:t>ای شده و تمرکز و تاکید جهانی بر مقوله</w:t>
      </w:r>
      <w:r>
        <w:rPr>
          <w:rFonts w:hint="cs"/>
          <w:rtl/>
        </w:rPr>
        <w:softHyphen/>
        <w:t xml:space="preserve">هایی نظیر حاکمیت شرکتی نیز بر اهمیت این مقوله افزوده است. </w:t>
      </w:r>
      <w:r>
        <w:rPr>
          <w:rFonts w:eastAsiaTheme="minorHAnsi" w:hint="cs"/>
          <w:rtl/>
        </w:rPr>
        <w:t>امروزه،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ورشکستگی،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عدم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موفقیت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شرکت</w:t>
      </w:r>
      <w:r>
        <w:rPr>
          <w:rFonts w:eastAsiaTheme="minorHAnsi" w:hint="cs"/>
          <w:rtl/>
        </w:rPr>
        <w:softHyphen/>
        <w:t>ها،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همواره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مسئله</w:t>
      </w:r>
      <w:r>
        <w:rPr>
          <w:rFonts w:eastAsiaTheme="minorHAnsi" w:hint="cs"/>
          <w:rtl/>
        </w:rPr>
        <w:softHyphen/>
        <w:t>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پیچیده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خور توجه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بوده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است.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دنیای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کنونی،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تمایلات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نامحدود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بشر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مقابل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منابع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محدود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اقتصادی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 xml:space="preserve"> بر قرار است.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ظهور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سقوط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پدیده</w:t>
      </w:r>
      <w:r>
        <w:rPr>
          <w:rFonts w:eastAsiaTheme="minorHAnsi" w:hint="cs"/>
          <w:rtl/>
        </w:rPr>
        <w:softHyphen/>
        <w:t>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ریشه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نیازهای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واقعی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منطقی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جوامع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انسانی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دارد</w:t>
      </w:r>
      <w:r>
        <w:rPr>
          <w:rFonts w:eastAsiaTheme="minorHAnsi"/>
        </w:rPr>
        <w:t>.</w:t>
      </w:r>
      <w:r>
        <w:rPr>
          <w:rFonts w:eastAsiaTheme="minorHAnsi" w:hint="cs"/>
          <w:rtl/>
        </w:rPr>
        <w:t xml:space="preserve"> ظهور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حسابرسی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عرصه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خدمات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حرفه</w:t>
      </w:r>
      <w:r>
        <w:rPr>
          <w:rFonts w:eastAsiaTheme="minorHAnsi" w:hint="cs"/>
          <w:rtl/>
        </w:rPr>
        <w:softHyphen/>
        <w:t>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نیز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نمی</w:t>
      </w:r>
      <w:r>
        <w:rPr>
          <w:rFonts w:eastAsiaTheme="minorHAnsi" w:hint="cs"/>
          <w:rtl/>
        </w:rPr>
        <w:softHyphen/>
        <w:t>تواند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این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قاعده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مستثنی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باشد. درعصر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حاضر،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پیشرفت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فن</w:t>
      </w:r>
      <w:r>
        <w:rPr>
          <w:rFonts w:eastAsiaTheme="minorHAnsi" w:hint="cs"/>
          <w:rtl/>
        </w:rPr>
        <w:softHyphen/>
        <w:t>آوری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تغییرات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گسترده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محیط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تجاری،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موجب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ایجاد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شتاب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فزاینده</w:t>
      </w:r>
      <w:r>
        <w:rPr>
          <w:rFonts w:eastAsiaTheme="minorHAnsi"/>
        </w:rPr>
        <w:softHyphen/>
      </w:r>
      <w:r>
        <w:rPr>
          <w:rFonts w:eastAsiaTheme="minorHAnsi" w:hint="cs"/>
          <w:rtl/>
        </w:rPr>
        <w:t>ای 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اقتصاد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به</w:t>
      </w:r>
      <w:r>
        <w:rPr>
          <w:rFonts w:eastAsiaTheme="minorHAnsi" w:hint="cs"/>
          <w:rtl/>
        </w:rPr>
        <w:softHyphen/>
        <w:t>علّت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رقابت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روزافزون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موسسه</w:t>
      </w:r>
      <w:r>
        <w:rPr>
          <w:rFonts w:eastAsiaTheme="minorHAnsi" w:hint="cs"/>
          <w:rtl/>
        </w:rPr>
        <w:softHyphen/>
        <w:t>ها،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دستیابی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درآمد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مورد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انتظار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نیز محدود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است؛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بنابراین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زمینه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بروز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روزبه</w:t>
      </w:r>
      <w:r>
        <w:rPr>
          <w:rFonts w:eastAsiaTheme="minorHAnsi" w:hint="cs"/>
          <w:rtl/>
        </w:rPr>
        <w:softHyphen/>
        <w:t>روز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افزایش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می</w:t>
      </w:r>
      <w:r>
        <w:rPr>
          <w:rFonts w:eastAsiaTheme="minorHAnsi" w:hint="cs"/>
          <w:rtl/>
        </w:rPr>
        <w:softHyphen/>
        <w:t>یابد.تقلب،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اقدام عمدی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یا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حذف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قلم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انداختن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طرح</w:t>
      </w:r>
      <w:r>
        <w:rPr>
          <w:rFonts w:eastAsiaTheme="minorHAnsi" w:hint="cs"/>
          <w:rtl/>
        </w:rPr>
        <w:softHyphen/>
        <w:t>ریزی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که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به</w:t>
      </w:r>
      <w:r>
        <w:rPr>
          <w:rFonts w:eastAsiaTheme="minorHAnsi" w:hint="cs"/>
          <w:rtl/>
        </w:rPr>
        <w:softHyphen/>
        <w:t>منظور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فریب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یا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اغفال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دیگران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صورت می</w:t>
      </w:r>
      <w:r>
        <w:rPr>
          <w:rFonts w:eastAsiaTheme="minorHAnsi" w:hint="cs"/>
          <w:rtl/>
        </w:rPr>
        <w:softHyphen/>
        <w:t>گیرد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باعث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می</w:t>
      </w:r>
      <w:r>
        <w:rPr>
          <w:rFonts w:eastAsiaTheme="minorHAnsi" w:hint="cs"/>
          <w:rtl/>
        </w:rPr>
        <w:softHyphen/>
        <w:t>شود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قربانیان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آن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دچار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زیان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عاملان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مرتکبان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آن،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منافعی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به</w:t>
      </w:r>
      <w:r>
        <w:rPr>
          <w:rFonts w:eastAsiaTheme="minorHAnsi" w:hint="cs"/>
          <w:rtl/>
        </w:rPr>
        <w:softHyphen/>
        <w:t>دست آوردند</w:t>
      </w:r>
      <w:r>
        <w:rPr>
          <w:rFonts w:eastAsiaTheme="minorHAnsi"/>
        </w:rPr>
        <w:t xml:space="preserve"> .</w:t>
      </w:r>
      <w:r>
        <w:rPr>
          <w:rFonts w:eastAsiaTheme="minorHAnsi" w:hint="cs"/>
          <w:rtl/>
        </w:rPr>
        <w:t>تمام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افراد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جامعه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فارغ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از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هرگونه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فرهنگ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مذهب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یا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ویژگی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دیگری،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معرض وسوسه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ارتکاب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هستند. افزایش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شمار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گزارشگری مالی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موارد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تجدید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ارائه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صورت</w:t>
      </w:r>
      <w:r>
        <w:rPr>
          <w:rFonts w:eastAsiaTheme="minorHAnsi" w:hint="cs"/>
          <w:rtl/>
        </w:rPr>
        <w:softHyphen/>
        <w:t>های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مالی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که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اغلب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ورشکستگی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شرکت</w:t>
      </w:r>
      <w:r>
        <w:rPr>
          <w:rFonts w:eastAsiaTheme="minorHAnsi" w:hint="cs"/>
          <w:rtl/>
        </w:rPr>
        <w:softHyphen/>
        <w:t>های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بزرگ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درآمیخته، نگرانی</w:t>
      </w:r>
      <w:r>
        <w:rPr>
          <w:rFonts w:eastAsiaTheme="minorHAnsi" w:hint="cs"/>
          <w:rtl/>
        </w:rPr>
        <w:softHyphen/>
        <w:t>هایی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را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درباره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کیفیت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گزارشگری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مالی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برانگیخته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است. به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همین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دلیل،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پیشگیری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یا کشف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تقلب</w:t>
      </w:r>
      <w:r>
        <w:rPr>
          <w:rFonts w:eastAsiaTheme="minorHAnsi" w:hint="cs"/>
          <w:rtl/>
        </w:rPr>
        <w:softHyphen/>
        <w:t>های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با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اهمیت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در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گزارشگری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مالی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همواره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کانون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توجه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سرمایه</w:t>
      </w:r>
      <w:r>
        <w:rPr>
          <w:rFonts w:eastAsiaTheme="minorHAnsi" w:hint="cs"/>
          <w:rtl/>
        </w:rPr>
        <w:softHyphen/>
        <w:t>گذاران،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قانونگذاران،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مدیران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و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حسابرسان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بوده</w:t>
      </w:r>
      <w:r>
        <w:rPr>
          <w:rFonts w:eastAsiaTheme="minorHAnsi" w:hint="cs"/>
        </w:rPr>
        <w:t xml:space="preserve"> </w:t>
      </w:r>
      <w:r>
        <w:rPr>
          <w:rFonts w:eastAsiaTheme="minorHAnsi" w:hint="cs"/>
          <w:rtl/>
        </w:rPr>
        <w:t>است.</w:t>
      </w:r>
    </w:p>
    <w:p w:rsidR="00E91D8E" w:rsidRDefault="00E91D8E" w:rsidP="00E91D8E">
      <w:pPr>
        <w:pStyle w:val="a"/>
        <w:spacing w:line="240" w:lineRule="auto"/>
        <w:rPr>
          <w:rFonts w:eastAsiaTheme="minorHAnsi" w:hint="cs"/>
          <w:rtl/>
        </w:rPr>
      </w:pPr>
    </w:p>
    <w:p w:rsidR="00E91D8E" w:rsidRDefault="00E91D8E" w:rsidP="00E91D8E">
      <w:pPr>
        <w:pStyle w:val="a"/>
        <w:spacing w:line="240" w:lineRule="auto"/>
        <w:rPr>
          <w:rFonts w:eastAsiaTheme="minorHAnsi" w:hint="cs"/>
          <w:rtl/>
        </w:rPr>
      </w:pPr>
    </w:p>
    <w:p w:rsidR="00E91D8E" w:rsidRDefault="00E91D8E" w:rsidP="00E91D8E">
      <w:pPr>
        <w:pStyle w:val="a"/>
        <w:spacing w:line="240" w:lineRule="auto"/>
        <w:rPr>
          <w:rFonts w:eastAsiaTheme="minorHAnsi" w:hint="cs"/>
          <w:rtl/>
        </w:rPr>
      </w:pPr>
    </w:p>
    <w:p w:rsidR="00E91D8E" w:rsidRDefault="00E91D8E" w:rsidP="00E91D8E">
      <w:pPr>
        <w:pStyle w:val="a"/>
        <w:spacing w:line="240" w:lineRule="auto"/>
        <w:rPr>
          <w:rFonts w:eastAsiaTheme="minorHAnsi" w:hint="cs"/>
          <w:rtl/>
        </w:rPr>
      </w:pPr>
    </w:p>
    <w:p w:rsidR="00E91D8E" w:rsidRDefault="00E91D8E" w:rsidP="00E91D8E">
      <w:pPr>
        <w:pStyle w:val="Heading1"/>
        <w:rPr>
          <w:rFonts w:hint="cs"/>
          <w:b/>
          <w:bCs/>
          <w:rtl/>
        </w:rPr>
      </w:pPr>
      <w:bookmarkStart w:id="8" w:name="_Toc18394116"/>
      <w:bookmarkStart w:id="9" w:name="_Toc11670298"/>
      <w:bookmarkStart w:id="10" w:name="_Toc534584462"/>
      <w:bookmarkStart w:id="11" w:name="_Toc534584164"/>
      <w:bookmarkStart w:id="12" w:name="_Toc532336042"/>
      <w:r>
        <w:rPr>
          <w:rFonts w:hint="cs"/>
          <w:b/>
          <w:bCs/>
          <w:rtl/>
        </w:rPr>
        <w:lastRenderedPageBreak/>
        <w:t>2-1- بیان مساله</w:t>
      </w:r>
      <w:bookmarkEnd w:id="8"/>
      <w:bookmarkEnd w:id="9"/>
      <w:bookmarkEnd w:id="10"/>
      <w:bookmarkEnd w:id="11"/>
      <w:bookmarkEnd w:id="12"/>
      <w:r>
        <w:rPr>
          <w:rFonts w:hint="cs"/>
          <w:b/>
          <w:bCs/>
          <w:rtl/>
        </w:rPr>
        <w:t xml:space="preserve"> </w:t>
      </w:r>
    </w:p>
    <w:p w:rsidR="00E91D8E" w:rsidRDefault="00E91D8E" w:rsidP="00E91D8E">
      <w:pPr>
        <w:pStyle w:val="a"/>
        <w:spacing w:line="240" w:lineRule="auto"/>
        <w:rPr>
          <w:rFonts w:hint="cs"/>
          <w:rtl/>
        </w:rPr>
      </w:pPr>
      <w:r>
        <w:rPr>
          <w:rFonts w:hint="cs"/>
          <w:rtl/>
        </w:rPr>
        <w:t>پیچیدگی سازمانی و گسترش معاملات تجاری در اغلب کشورها موجب شده است که مدیران بنگاه</w:t>
      </w:r>
      <w:r>
        <w:rPr>
          <w:rFonts w:hint="cs"/>
          <w:rtl/>
        </w:rPr>
        <w:softHyphen/>
        <w:t>های انتفاعی و غیرانتفاعی با توجه به مسئولیت خود و در راستای دستیابی به اهداف سازمانی و به منظور کسب اطمینان از هدایت بهینه کلیه منابع، واحدی به نام حسابرسی داخلی تشکیل دهند. دامنه فعاليت</w:t>
      </w:r>
      <w:r>
        <w:rPr>
          <w:rFonts w:hint="cs"/>
          <w:rtl/>
        </w:rPr>
        <w:softHyphen/>
        <w:t>هاي حسابرسي داخلي به مراتب بيش از پيش گسترش پیدا کرده است. از مهم</w:t>
      </w:r>
      <w:r>
        <w:rPr>
          <w:rFonts w:hint="cs"/>
          <w:rtl/>
        </w:rPr>
        <w:softHyphen/>
        <w:t>ترین ساز و کارهای ایفای مسئولیت پاسخ</w:t>
      </w:r>
      <w:r>
        <w:rPr>
          <w:rFonts w:hint="cs"/>
          <w:rtl/>
        </w:rPr>
        <w:softHyphen/>
        <w:t>گویی، کنترل</w:t>
      </w:r>
      <w:r>
        <w:rPr>
          <w:rFonts w:hint="cs"/>
          <w:rtl/>
        </w:rPr>
        <w:softHyphen/>
        <w:t>های داخلی و به تبع آن حسابرسی داخلی می باشد. حسابرسی داخلی در تدوین روش های کنترل داخلی اعم از مالی و غیرمالی، استقرار سیستم کنترل داخلی، بررسی و ارزیابی سیستم کنترل داخلی، ارائه پیشنهادهای سازنده برای بهبود این سیستم و ارزیابی اثربخشی و کارایی استفاده از منابع بنگاه، نقشی اساسی و کلیدی دارد و در این راستا، سیستم</w:t>
      </w:r>
      <w:r>
        <w:rPr>
          <w:rFonts w:hint="cs"/>
          <w:rtl/>
        </w:rPr>
        <w:softHyphen/>
        <w:t>های مالی، مدیریتی و عملیاتی و هم</w:t>
      </w:r>
      <w:r>
        <w:rPr>
          <w:rFonts w:hint="cs"/>
          <w:rtl/>
        </w:rPr>
        <w:softHyphen/>
        <w:t>چنین رسیدگی</w:t>
      </w:r>
      <w:r>
        <w:rPr>
          <w:rFonts w:hint="cs"/>
          <w:rtl/>
        </w:rPr>
        <w:softHyphen/>
        <w:t>های ویژه را در دامنه کار خود دارد. محدوده فعالیت</w:t>
      </w:r>
      <w:r>
        <w:rPr>
          <w:rFonts w:hint="cs"/>
          <w:rtl/>
        </w:rPr>
        <w:softHyphen/>
        <w:t xml:space="preserve">ها، روش ها و وظایف حسابرسی داخلی در سازمان و چگونگی گزارشگری آن باید به روشنی مشخص بوده و افراد و گروه های ذیصلاح دائماً عملکرد حسابرسی داخلی را ارزیابی نمایند. مدیران نیز باید از نتایج فعالیت های حسابرسی داخلی در جهت بهبود سازمان و اصلاح عملکردها بهره برداری نمایند. </w:t>
      </w:r>
    </w:p>
    <w:p w:rsidR="00E91D8E" w:rsidRDefault="00E91D8E" w:rsidP="00E91D8E">
      <w:pPr>
        <w:pStyle w:val="a"/>
        <w:spacing w:line="240" w:lineRule="auto"/>
        <w:rPr>
          <w:rFonts w:hint="cs"/>
          <w:rtl/>
        </w:rPr>
      </w:pPr>
      <w:r>
        <w:rPr>
          <w:rFonts w:hint="cs"/>
          <w:rtl/>
        </w:rPr>
        <w:t>حسابرسي‌ داخلي‌ يعني‌ وظيفه‌ ارزيابي‌ كه‌ در داخل‌ واحد مورد رسيدگي‌ و توسط‌ كاركنان‌ آن‌، به‌ منظور ارائه‌ خدمت‌ به‌ آن‌ واحد انجام میشود و از اركان‌ اصلي‌ محيط‌ كنترلي‌ به حساب می آید. ارزيابي‌ و بررسي‌ كفايت‌ و اثربخشي‌ سيستم هاي‌ حسابداري‌ و كنترل‌ داخلي‌، از جمله‌ وظايف‌ اصلي‌ واحد حسابرسي‌ داخلي‌ می باشد(استانداردهای حسابرسی، بخش610، بند5). حسابرسي داخلي، فعاليتي مستقل و مشاوره</w:t>
      </w:r>
      <w:r>
        <w:rPr>
          <w:rFonts w:hint="cs"/>
          <w:rtl/>
        </w:rPr>
        <w:softHyphen/>
        <w:t>اي با اهداف مشخص است كه براي ايجاد ارزش و بهبود عملكرد، طراحي شده است. حسابرسي داخلي به شركت كمك مي كند تا با رويكردي ساختارمند به اهداف خود برسد كه در نتیجه اثربخشي مديريت ريسك، كنترل</w:t>
      </w:r>
      <w:r>
        <w:rPr>
          <w:rFonts w:hint="cs"/>
          <w:rtl/>
        </w:rPr>
        <w:softHyphen/>
        <w:t>ها و فعاليت</w:t>
      </w:r>
      <w:r>
        <w:rPr>
          <w:rFonts w:hint="cs"/>
          <w:rtl/>
        </w:rPr>
        <w:softHyphen/>
        <w:t>هاي حاکمیتی را ارزيابي می</w:t>
      </w:r>
      <w:r>
        <w:rPr>
          <w:rFonts w:hint="cs"/>
          <w:rtl/>
        </w:rPr>
        <w:softHyphen/>
        <w:t>کند و بهبود مي</w:t>
      </w:r>
      <w:r>
        <w:rPr>
          <w:rFonts w:hint="cs"/>
          <w:rtl/>
        </w:rPr>
        <w:softHyphen/>
        <w:t>بخشد (انجمن حسابرسان داخلی</w:t>
      </w:r>
      <w:r>
        <w:rPr>
          <w:rStyle w:val="FootnoteReference"/>
          <w:rFonts w:asciiTheme="minorHAnsi" w:hAnsiTheme="minorHAnsi" w:cs="B Zar"/>
          <w:rtl/>
        </w:rPr>
        <w:footnoteReference w:id="1"/>
      </w:r>
      <w:r>
        <w:rPr>
          <w:rFonts w:hint="cs"/>
          <w:rtl/>
        </w:rPr>
        <w:t>، 2000). حسابرسان داخلی باید برای جلوگیری و کشف بی‌نظمی</w:t>
      </w:r>
      <w:r>
        <w:rPr>
          <w:rFonts w:hint="cs"/>
          <w:rtl/>
        </w:rPr>
        <w:softHyphen/>
        <w:t>های کنترل داخلی، درک دقیقی از عملیات، فرآیندها و رویه</w:t>
      </w:r>
      <w:r>
        <w:rPr>
          <w:rFonts w:hint="cs"/>
          <w:rtl/>
        </w:rPr>
        <w:softHyphen/>
        <w:t>های شرکت داشته باشند و به منظور تعیین این</w:t>
      </w:r>
      <w:r>
        <w:rPr>
          <w:rFonts w:hint="cs"/>
          <w:rtl/>
        </w:rPr>
        <w:softHyphen/>
        <w:t>که آیا فرآیندها و روش</w:t>
      </w:r>
      <w:r>
        <w:rPr>
          <w:rFonts w:hint="cs"/>
          <w:rtl/>
        </w:rPr>
        <w:softHyphen/>
        <w:t>ها همان</w:t>
      </w:r>
      <w:r>
        <w:rPr>
          <w:rFonts w:hint="cs"/>
          <w:rtl/>
        </w:rPr>
        <w:softHyphen/>
        <w:t>طوری کار می</w:t>
      </w:r>
      <w:r>
        <w:rPr>
          <w:rFonts w:hint="cs"/>
          <w:rtl/>
        </w:rPr>
        <w:softHyphen/>
        <w:t>کنند که مدنظر بوده است، باید قادر به طراحی و اجرای آزمون ها باشند (کولینان</w:t>
      </w:r>
      <w:r>
        <w:rPr>
          <w:rFonts w:hint="cs"/>
          <w:vertAlign w:val="superscript"/>
          <w:rtl/>
        </w:rPr>
        <w:t xml:space="preserve"> </w:t>
      </w:r>
      <w:r>
        <w:rPr>
          <w:rFonts w:hint="cs"/>
          <w:rtl/>
        </w:rPr>
        <w:t>و همکاران</w:t>
      </w:r>
      <w:r>
        <w:rPr>
          <w:vertAlign w:val="superscript"/>
          <w:rtl/>
        </w:rPr>
        <w:footnoteReference w:id="2"/>
      </w:r>
      <w:r>
        <w:rPr>
          <w:rFonts w:hint="cs"/>
          <w:rtl/>
        </w:rPr>
        <w:t>، 2012). ارائه اطلاعات مربوط به كفايت و كارآيي نظام كنترل</w:t>
      </w:r>
      <w:r>
        <w:rPr>
          <w:rFonts w:hint="cs"/>
          <w:rtl/>
        </w:rPr>
        <w:softHyphen/>
        <w:t>هاي داخلي و كيفيت عملكرد واحد تجاري به رئیس هيئت مديره و مديران اجرائي واحد تجاري، از مسئوليت</w:t>
      </w:r>
      <w:r>
        <w:rPr>
          <w:rFonts w:hint="cs"/>
          <w:rtl/>
        </w:rPr>
        <w:softHyphen/>
        <w:t>هاي حسابرسان داخلي است. شرکت هایی که بهترین دستورالعمل حسابرسی داخلی را دارند- آنهایی که رویه های پیشرو را به کار می</w:t>
      </w:r>
      <w:r>
        <w:rPr>
          <w:rFonts w:hint="cs"/>
          <w:rtl/>
        </w:rPr>
        <w:softHyphen/>
      </w:r>
      <w:r>
        <w:rPr>
          <w:rFonts w:hint="cs"/>
          <w:rtl/>
        </w:rPr>
        <w:softHyphen/>
        <w:t>گیرند و با انتظارات و اهداف راهبردی مقرر توسط مدیریت و هیئت مدیره همگامند- عموماً کنترل‌های بهتری خواهند داشت (هیرث</w:t>
      </w:r>
      <w:r>
        <w:rPr>
          <w:vertAlign w:val="superscript"/>
          <w:rtl/>
        </w:rPr>
        <w:footnoteReference w:id="3"/>
      </w:r>
      <w:r>
        <w:rPr>
          <w:rFonts w:hint="cs"/>
          <w:rtl/>
        </w:rPr>
        <w:t xml:space="preserve">، 2008). </w:t>
      </w:r>
      <w:r>
        <w:rPr>
          <w:rFonts w:hint="cs"/>
          <w:rtl/>
        </w:rPr>
        <w:lastRenderedPageBreak/>
        <w:t>استانداردهای حسابرسی مستقل در طی مدت ها نقش حسابرسی داخلی را به عنوان منبع ارزشمند بالقوه در فرآیند گزارشگری مالی تأیید کرده</w:t>
      </w:r>
      <w:r>
        <w:rPr>
          <w:rFonts w:hint="cs"/>
          <w:rtl/>
        </w:rPr>
        <w:softHyphen/>
        <w:t>اند (انجمن حسابداران رسمی امریکا</w:t>
      </w:r>
      <w:r>
        <w:rPr>
          <w:rStyle w:val="FootnoteReference"/>
          <w:rFonts w:asciiTheme="minorHAnsi" w:hAnsiTheme="minorHAnsi" w:cs="B Zar"/>
          <w:rtl/>
        </w:rPr>
        <w:footnoteReference w:id="4"/>
      </w:r>
      <w:r>
        <w:rPr>
          <w:rFonts w:hint="cs"/>
          <w:rtl/>
        </w:rPr>
        <w:t>، 1991 و هیئت نظارت بر حسابداری شرکت</w:t>
      </w:r>
      <w:r>
        <w:rPr>
          <w:rFonts w:hint="cs"/>
          <w:rtl/>
        </w:rPr>
        <w:softHyphen/>
        <w:t>های سهامی عام</w:t>
      </w:r>
      <w:r>
        <w:rPr>
          <w:rStyle w:val="FootnoteReference"/>
          <w:rFonts w:asciiTheme="minorHAnsi" w:hAnsiTheme="minorHAnsi" w:cs="B Zar"/>
          <w:rtl/>
        </w:rPr>
        <w:footnoteReference w:id="5"/>
      </w:r>
      <w:r>
        <w:rPr>
          <w:rFonts w:hint="cs"/>
          <w:rtl/>
        </w:rPr>
        <w:t>، 2007). نخستین هدف سیستم کنترل داخلی سازمان، ارائه اطمینان معقول به مدیریت اجرایی از این موارد است: اطلاعات مالی صحیح و قابل اعتمادند، سازمان در انطباق با سیاست</w:t>
      </w:r>
      <w:r>
        <w:rPr>
          <w:rFonts w:hint="cs"/>
          <w:rtl/>
        </w:rPr>
        <w:softHyphen/>
        <w:t>ها، نقشه</w:t>
      </w:r>
      <w:r>
        <w:rPr>
          <w:rFonts w:hint="cs"/>
          <w:rtl/>
        </w:rPr>
        <w:softHyphen/>
        <w:t>ها، رویه</w:t>
      </w:r>
      <w:r>
        <w:rPr>
          <w:rFonts w:hint="cs"/>
          <w:rtl/>
        </w:rPr>
        <w:softHyphen/>
        <w:t>ها، قوانین و مقررات و قراردادها است، دارایی</w:t>
      </w:r>
      <w:r>
        <w:rPr>
          <w:rFonts w:hint="cs"/>
          <w:rtl/>
        </w:rPr>
        <w:softHyphen/>
        <w:t>ها در برابر خسارت و سرقت محافظت شده</w:t>
      </w:r>
      <w:r>
        <w:rPr>
          <w:rFonts w:hint="cs"/>
          <w:rtl/>
        </w:rPr>
        <w:softHyphen/>
        <w:t>اند، منابع به نحوی اثر بخش و مقرون به صرفه به کار گرفته شده اند و اهداف مشخص شده برای عملیات و برنامه ها، قابل دستیابی</w:t>
      </w:r>
      <w:r>
        <w:rPr>
          <w:rFonts w:hint="cs"/>
          <w:rtl/>
        </w:rPr>
        <w:softHyphen/>
        <w:t>اند. حسابرسی داخلی بر کیفیت گزارشگری مالی نیز اثرگذار است. نتایج پژوهش‌های پیشین بیانگر این موضوع است که ضعف کنترل داخلی باعث بروز اشتباهاتی در افشای اطلاعات مالی شده است (کارسلو</w:t>
      </w:r>
      <w:r>
        <w:rPr>
          <w:vertAlign w:val="superscript"/>
          <w:rtl/>
        </w:rPr>
        <w:footnoteReference w:id="6"/>
      </w:r>
      <w:r>
        <w:rPr>
          <w:rFonts w:hint="cs"/>
          <w:rtl/>
        </w:rPr>
        <w:t>، 2003).</w:t>
      </w:r>
    </w:p>
    <w:p w:rsidR="00E91D8E" w:rsidRDefault="00E91D8E" w:rsidP="00E91D8E">
      <w:pPr>
        <w:pStyle w:val="a"/>
        <w:spacing w:line="240" w:lineRule="auto"/>
        <w:rPr>
          <w:rFonts w:hint="cs"/>
          <w:rtl/>
        </w:rPr>
      </w:pPr>
      <w:r>
        <w:rPr>
          <w:rFonts w:ascii="BMitra" w:hint="cs"/>
          <w:rtl/>
        </w:rPr>
        <w:t>بررسی تقلب در صورت</w:t>
      </w:r>
      <w:r>
        <w:rPr>
          <w:rFonts w:ascii="BMitra" w:hint="cs"/>
          <w:rtl/>
        </w:rPr>
        <w:softHyphen/>
        <w:t>های مالی دارای اهمیت زیادی می</w:t>
      </w:r>
      <w:r>
        <w:rPr>
          <w:rFonts w:ascii="BMitra" w:hint="cs"/>
          <w:rtl/>
        </w:rPr>
        <w:softHyphen/>
        <w:t xml:space="preserve">باشد؛ </w:t>
      </w:r>
      <w:r>
        <w:rPr>
          <w:rFonts w:hint="cs"/>
          <w:rtl/>
        </w:rPr>
        <w:t>زیرا در مواردی که تقلب افشاء می</w:t>
      </w:r>
      <w:r>
        <w:rPr>
          <w:rFonts w:hint="cs"/>
          <w:rtl/>
        </w:rPr>
        <w:softHyphen/>
        <w:t>شود، و حسابرس نیز به طور همزمان نظر خود را در مورد ضعف کنترل داخلی افشاء می</w:t>
      </w:r>
      <w:r>
        <w:rPr>
          <w:rFonts w:hint="cs"/>
          <w:rtl/>
        </w:rPr>
        <w:softHyphen/>
        <w:t>کند، تعجب آور نیست. انتظار می</w:t>
      </w:r>
      <w:r>
        <w:rPr>
          <w:rFonts w:hint="cs"/>
          <w:rtl/>
        </w:rPr>
        <w:softHyphen/>
        <w:t>رود که این رابطه، مکانیکی باشد، زیرا حسابرسان زمانی که تجدید ارائه صورت</w:t>
      </w:r>
      <w:r>
        <w:rPr>
          <w:rFonts w:hint="cs"/>
          <w:rtl/>
        </w:rPr>
        <w:softHyphen/>
        <w:t>های مالی منتشر می</w:t>
      </w:r>
      <w:r>
        <w:rPr>
          <w:rFonts w:hint="cs"/>
          <w:rtl/>
        </w:rPr>
        <w:softHyphen/>
        <w:t>شود، گزارشات کنترل داخلی را اصلاح می</w:t>
      </w:r>
      <w:r>
        <w:rPr>
          <w:rFonts w:hint="cs"/>
          <w:rtl/>
        </w:rPr>
        <w:softHyphen/>
        <w:t>کنند (رایس و وبر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7"/>
      </w:r>
      <w:r>
        <w:rPr>
          <w:rFonts w:hint="cs"/>
          <w:rtl/>
        </w:rPr>
        <w:t>، 2012).</w:t>
      </w:r>
      <w:r>
        <w:rPr>
          <w:rFonts w:ascii="BMitra" w:hint="cs"/>
          <w:rtl/>
        </w:rPr>
        <w:t xml:space="preserve"> خبر داشتن از وجود تقلب در صورت</w:t>
      </w:r>
      <w:r>
        <w:rPr>
          <w:rFonts w:ascii="BMitra" w:hint="cs"/>
          <w:rtl/>
        </w:rPr>
        <w:softHyphen/>
        <w:t xml:space="preserve">های مالی از چند جهت دارای اهمیت می باشد، </w:t>
      </w:r>
      <w:r>
        <w:rPr>
          <w:rFonts w:hint="cs"/>
          <w:rtl/>
        </w:rPr>
        <w:t>اول، کنترل</w:t>
      </w:r>
      <w:r>
        <w:rPr>
          <w:rFonts w:hint="cs"/>
          <w:rtl/>
        </w:rPr>
        <w:softHyphen/>
        <w:t>های قوی داخلی می</w:t>
      </w:r>
      <w:r>
        <w:rPr>
          <w:rFonts w:hint="cs"/>
          <w:rtl/>
        </w:rPr>
        <w:softHyphen/>
        <w:t xml:space="preserve">تواند ریسک تقلب حسابداری را کاهش دهد، که هنوز از نظر تحقیقاتی چندان روشن نیست. کمیسیون بورس و اوراق بهادار 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8"/>
      </w:r>
      <w:r>
        <w:rPr>
          <w:rFonts w:hint="cs"/>
          <w:rtl/>
        </w:rPr>
        <w:t>بیان می</w:t>
      </w:r>
      <w:r>
        <w:rPr>
          <w:rFonts w:hint="cs"/>
          <w:rtl/>
        </w:rPr>
        <w:softHyphen/>
        <w:t>کند که کنترل قوی داخلی به طور معنی</w:t>
      </w:r>
      <w:r>
        <w:rPr>
          <w:rFonts w:hint="cs"/>
          <w:rtl/>
        </w:rPr>
        <w:softHyphen/>
        <w:t>داری می</w:t>
      </w:r>
      <w:r>
        <w:rPr>
          <w:rFonts w:hint="cs"/>
          <w:rtl/>
        </w:rPr>
        <w:softHyphen/>
        <w:t>تواند مدیریت را از درگیری در تقلب حسابداری بازدارد (سولومون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9"/>
      </w:r>
      <w:r>
        <w:rPr>
          <w:rFonts w:hint="cs"/>
          <w:rtl/>
        </w:rPr>
        <w:t>، 2003). زمانی که هیات نظارت حسابداری شرکتی استاندارد شماره 5 را منتشر کرد، رابطه روشن بین کنترل (مثلا کنترلی که اقدامات متقلبانه، هزینه</w:t>
      </w:r>
      <w:r>
        <w:rPr>
          <w:rFonts w:hint="cs"/>
          <w:rtl/>
        </w:rPr>
        <w:softHyphen/>
        <w:t>های زیادی برای مدیران داشته باشد، مانند حسابرسی داخلی قوی و یا متخصص حسابداری در شرکت) با کاهش ریسک تقلب و نادیده گرفتن سایر موارد کنترل توسط مدیریت را مشخص کرد (هیئت نظارت بر حسابداری شرکت‌های عام</w:t>
      </w:r>
      <w:r>
        <w:rPr>
          <w:rStyle w:val="FootnoteReference"/>
          <w:rFonts w:asciiTheme="minorHAnsi" w:hAnsiTheme="minorHAnsi" w:cs="B Zar"/>
          <w:rtl/>
        </w:rPr>
        <w:footnoteReference w:id="10"/>
      </w:r>
      <w:r>
        <w:rPr>
          <w:rFonts w:hint="cs"/>
          <w:rtl/>
        </w:rPr>
        <w:t>،  2007، 14 و 24). با این وجود، برخی از محققان وجود این رابطه را به دلیل توانایی مدیریت برای عدم توجه به مدیریت به کنترل، رد می</w:t>
      </w:r>
      <w:r>
        <w:rPr>
          <w:rFonts w:hint="cs"/>
          <w:rtl/>
        </w:rPr>
        <w:softHyphen/>
        <w:t>کنند (کینی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1"/>
      </w:r>
      <w:r>
        <w:rPr>
          <w:rFonts w:hint="cs"/>
          <w:rtl/>
        </w:rPr>
        <w:t>، 2005). انجمن حسابداران عمومی گواهی</w:t>
      </w:r>
      <w:r>
        <w:rPr>
          <w:rFonts w:hint="cs"/>
          <w:cs/>
        </w:rPr>
        <w:t>‎</w:t>
      </w:r>
      <w:r>
        <w:rPr>
          <w:rFonts w:hint="cs"/>
          <w:rtl/>
        </w:rPr>
        <w:t>شده آمریکا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2"/>
      </w:r>
      <w:r>
        <w:rPr>
          <w:rFonts w:hint="cs"/>
          <w:rtl/>
        </w:rPr>
        <w:t xml:space="preserve"> بیان می</w:t>
      </w:r>
      <w:r>
        <w:rPr>
          <w:rFonts w:hint="cs"/>
          <w:rtl/>
        </w:rPr>
        <w:softHyphen/>
        <w:t>کند که اگر بین آن</w:t>
      </w:r>
      <w:r>
        <w:rPr>
          <w:rFonts w:hint="cs"/>
          <w:rtl/>
        </w:rPr>
        <w:softHyphen/>
        <w:t>ها رابطه</w:t>
      </w:r>
      <w:r>
        <w:rPr>
          <w:rFonts w:hint="cs"/>
          <w:rtl/>
        </w:rPr>
        <w:softHyphen/>
        <w:t>ای وجود داشته باشد، نمی</w:t>
      </w:r>
      <w:r>
        <w:rPr>
          <w:rFonts w:hint="cs"/>
          <w:rtl/>
        </w:rPr>
        <w:softHyphen/>
        <w:t xml:space="preserve">توان به کنترل داخلی موثر برای جلوگیری، شناسایی و یا پیشگیری از گزارشگری مالی متقلبانه مدیریت اعتماد کرد. </w:t>
      </w:r>
    </w:p>
    <w:p w:rsidR="00E91D8E" w:rsidRDefault="00E91D8E" w:rsidP="00E91D8E">
      <w:pPr>
        <w:pStyle w:val="a"/>
        <w:spacing w:line="240" w:lineRule="auto"/>
        <w:rPr>
          <w:rFonts w:hint="cs"/>
          <w:rtl/>
        </w:rPr>
      </w:pPr>
      <w:r>
        <w:rPr>
          <w:rFonts w:hint="cs"/>
          <w:rtl/>
        </w:rPr>
        <w:lastRenderedPageBreak/>
        <w:t>دوم، هنوز شواهد تجربی نتوانسته</w:t>
      </w:r>
      <w:r>
        <w:rPr>
          <w:rFonts w:hint="cs"/>
          <w:rtl/>
        </w:rPr>
        <w:softHyphen/>
        <w:t>اند ضعف کنترل داخلی را به افزایش ریسک تقلب حسابداری ربط دهند. این مساله به این دلیل اهمیت دارد که هدف ساربنز اکسلی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3"/>
      </w:r>
      <w:r>
        <w:rPr>
          <w:rFonts w:hint="cs"/>
          <w:rtl/>
        </w:rPr>
        <w:t xml:space="preserve"> کاهش موارد متقلبانه است (لوکاس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4"/>
      </w:r>
      <w:r>
        <w:rPr>
          <w:rFonts w:hint="cs"/>
          <w:rtl/>
        </w:rPr>
        <w:t>، 2004)، حسابرسی کنترل داخلی را اجباری کرده است. اگرچه مطالعات پیشین دریافته</w:t>
      </w:r>
      <w:r>
        <w:rPr>
          <w:rFonts w:hint="cs"/>
          <w:rtl/>
        </w:rPr>
        <w:softHyphen/>
        <w:t>اند که ضعف کنترل داخلی با تجدید ارائه صورت</w:t>
      </w:r>
      <w:r>
        <w:rPr>
          <w:rFonts w:hint="cs"/>
          <w:rtl/>
        </w:rPr>
        <w:softHyphen/>
        <w:t>های مالی (چن و همکاران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5"/>
      </w:r>
      <w:r>
        <w:rPr>
          <w:rFonts w:hint="cs"/>
          <w:rtl/>
        </w:rPr>
        <w:t>، 2008؛ هویتاش و همکاران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6"/>
      </w:r>
      <w:r>
        <w:rPr>
          <w:rFonts w:hint="cs"/>
          <w:rtl/>
        </w:rPr>
        <w:t>، 2008) و کاهش کیفیت اقلام تعهدی (دویل و همکاران، 2007) رابطه دارد، اما این مطالعات تمایزی را بین خطا و موارد متقلبانه ایجاد نکرده</w:t>
      </w:r>
      <w:r>
        <w:rPr>
          <w:rFonts w:hint="cs"/>
          <w:rtl/>
        </w:rPr>
        <w:softHyphen/>
        <w:t>اند. اما، آشباخ-اسکایف و همکاران</w:t>
      </w:r>
      <w:r>
        <w:rPr>
          <w:rStyle w:val="FootnoteReference"/>
          <w:rFonts w:asciiTheme="minorHAnsi" w:hAnsiTheme="minorHAnsi" w:cs="B Zar"/>
          <w:color w:val="000000" w:themeColor="text1"/>
          <w:rtl/>
        </w:rPr>
        <w:footnoteReference w:id="17"/>
      </w:r>
      <w:r>
        <w:rPr>
          <w:rFonts w:hint="cs"/>
          <w:rtl/>
        </w:rPr>
        <w:t>(2008) به این نتیجه رسیده</w:t>
      </w:r>
      <w:r>
        <w:rPr>
          <w:rFonts w:hint="cs"/>
          <w:rtl/>
        </w:rPr>
        <w:softHyphen/>
        <w:t>اند که رابطه بین ضعف کنترل داخلی و کیفیت اقلام تعهدی تحت تاثیر خطای حسابداری قرار دارد، نه دستکاری تعمدانه، در این مورد استثناء می</w:t>
      </w:r>
      <w:r>
        <w:rPr>
          <w:rFonts w:hint="cs"/>
          <w:rtl/>
        </w:rPr>
        <w:softHyphen/>
        <w:t>باشد.</w:t>
      </w:r>
    </w:p>
    <w:p w:rsidR="002E2428" w:rsidRDefault="002E2428">
      <w:bookmarkStart w:id="13" w:name="_GoBack"/>
      <w:bookmarkEnd w:id="13"/>
    </w:p>
    <w:sectPr w:rsidR="002E2428" w:rsidSect="007341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6E" w:rsidRDefault="005A626E" w:rsidP="00E91D8E">
      <w:pPr>
        <w:spacing w:after="0" w:line="240" w:lineRule="auto"/>
      </w:pPr>
      <w:r>
        <w:separator/>
      </w:r>
    </w:p>
  </w:endnote>
  <w:endnote w:type="continuationSeparator" w:id="0">
    <w:p w:rsidR="005A626E" w:rsidRDefault="005A626E" w:rsidP="00E9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6E" w:rsidRDefault="005A626E" w:rsidP="00E91D8E">
      <w:pPr>
        <w:spacing w:after="0" w:line="240" w:lineRule="auto"/>
      </w:pPr>
      <w:r>
        <w:separator/>
      </w:r>
    </w:p>
  </w:footnote>
  <w:footnote w:type="continuationSeparator" w:id="0">
    <w:p w:rsidR="005A626E" w:rsidRDefault="005A626E" w:rsidP="00E91D8E">
      <w:pPr>
        <w:spacing w:after="0" w:line="240" w:lineRule="auto"/>
      </w:pPr>
      <w:r>
        <w:continuationSeparator/>
      </w:r>
    </w:p>
  </w:footnote>
  <w:footnote w:id="1">
    <w:p w:rsidR="00E91D8E" w:rsidRDefault="00E91D8E" w:rsidP="00E91D8E">
      <w:pPr>
        <w:pStyle w:val="a0"/>
        <w:rPr>
          <w:rFonts w:hint="cs"/>
          <w:rtl/>
        </w:rPr>
      </w:pPr>
      <w:r>
        <w:rPr>
          <w:rStyle w:val="FootnoteReference"/>
        </w:rPr>
        <w:footnoteRef/>
      </w:r>
      <w:r>
        <w:t xml:space="preserve">  Institute of Internal Auditors</w:t>
      </w:r>
    </w:p>
  </w:footnote>
  <w:footnote w:id="2">
    <w:p w:rsidR="00E91D8E" w:rsidRDefault="00E91D8E" w:rsidP="00E91D8E">
      <w:pPr>
        <w:pStyle w:val="a0"/>
        <w:rPr>
          <w:rFonts w:hint="cs"/>
          <w:rtl/>
        </w:rPr>
      </w:pPr>
      <w:r>
        <w:rPr>
          <w:rStyle w:val="FootnoteReference"/>
          <w:rFonts w:cs="Times New Roman"/>
        </w:rPr>
        <w:footnoteRef/>
      </w:r>
      <w:r>
        <w:t xml:space="preserve">  </w:t>
      </w:r>
      <w:proofErr w:type="spellStart"/>
      <w:r>
        <w:t>Cullinan</w:t>
      </w:r>
      <w:proofErr w:type="spellEnd"/>
      <w:r>
        <w:t xml:space="preserve"> &amp; et al</w:t>
      </w:r>
    </w:p>
  </w:footnote>
  <w:footnote w:id="3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rPr>
          <w:rFonts w:hint="cs"/>
          <w:rtl/>
        </w:rPr>
        <w:t xml:space="preserve"> </w:t>
      </w:r>
      <w:r>
        <w:t xml:space="preserve">  </w:t>
      </w:r>
      <w:proofErr w:type="spellStart"/>
      <w:r>
        <w:t>Hirth</w:t>
      </w:r>
      <w:proofErr w:type="spellEnd"/>
    </w:p>
  </w:footnote>
  <w:footnote w:id="4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rPr>
          <w:rFonts w:hint="cs"/>
          <w:rtl/>
        </w:rPr>
        <w:t xml:space="preserve"> </w:t>
      </w:r>
      <w:r>
        <w:t xml:space="preserve"> American Institute of Certified Public Accountants</w:t>
      </w:r>
    </w:p>
  </w:footnote>
  <w:footnote w:id="5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rPr>
          <w:rFonts w:hint="cs"/>
          <w:rtl/>
        </w:rPr>
        <w:t xml:space="preserve"> </w:t>
      </w:r>
      <w:r>
        <w:t xml:space="preserve"> </w:t>
      </w:r>
      <w:r>
        <w:rPr>
          <w:rStyle w:val="reference-text"/>
          <w:rFonts w:ascii="Times New Roman" w:hAnsi="Times New Roman" w:cs="Times New Roman"/>
        </w:rPr>
        <w:t xml:space="preserve">The Public Company Accounting Oversight </w:t>
      </w:r>
      <w:proofErr w:type="spellStart"/>
      <w:r>
        <w:rPr>
          <w:rStyle w:val="reference-text"/>
          <w:rFonts w:ascii="Times New Roman" w:hAnsi="Times New Roman" w:cs="Times New Roman"/>
        </w:rPr>
        <w:t>Board_PCAOB</w:t>
      </w:r>
      <w:proofErr w:type="spellEnd"/>
    </w:p>
  </w:footnote>
  <w:footnote w:id="6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rPr>
          <w:rFonts w:hint="cs"/>
          <w:rtl/>
        </w:rPr>
        <w:t xml:space="preserve">  </w:t>
      </w:r>
      <w:proofErr w:type="spellStart"/>
      <w:r>
        <w:t>Carcello</w:t>
      </w:r>
      <w:proofErr w:type="spellEnd"/>
    </w:p>
  </w:footnote>
  <w:footnote w:id="7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Rice &amp; Weber</w:t>
      </w:r>
    </w:p>
  </w:footnote>
  <w:footnote w:id="8">
    <w:p w:rsidR="00E91D8E" w:rsidRDefault="00E91D8E" w:rsidP="00E91D8E">
      <w:pPr>
        <w:pStyle w:val="a0"/>
        <w:rPr>
          <w:rFonts w:ascii="Times New Roman" w:hAnsi="Times New Roman"/>
        </w:rPr>
      </w:pPr>
      <w:r>
        <w:rPr>
          <w:rStyle w:val="FootnoteReference"/>
          <w:rFonts w:cs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</w:rPr>
        <w:t>SEC</w:t>
      </w:r>
      <w:r>
        <w:rPr>
          <w:rFonts w:ascii="Times New Roman" w:hAnsi="Times New Roman"/>
        </w:rPr>
        <w:t>(</w:t>
      </w:r>
      <w:proofErr w:type="gramEnd"/>
      <w:r>
        <w:rPr>
          <w:rStyle w:val="Emphasis"/>
        </w:rPr>
        <w:t>Securities &amp; Exchange Commission)</w:t>
      </w:r>
    </w:p>
  </w:footnote>
  <w:footnote w:id="9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rPr>
          <w:rFonts w:hint="cs"/>
          <w:rtl/>
        </w:rPr>
        <w:t xml:space="preserve">  </w:t>
      </w:r>
      <w:proofErr w:type="spellStart"/>
      <w:r>
        <w:t>Solomen</w:t>
      </w:r>
      <w:proofErr w:type="spellEnd"/>
    </w:p>
  </w:footnote>
  <w:footnote w:id="10">
    <w:p w:rsidR="00E91D8E" w:rsidRDefault="00E91D8E" w:rsidP="00E91D8E">
      <w:pPr>
        <w:pStyle w:val="a0"/>
        <w:rPr>
          <w:b/>
          <w:bCs/>
          <w:sz w:val="36"/>
          <w:szCs w:val="36"/>
        </w:rPr>
      </w:pPr>
      <w:r>
        <w:rPr>
          <w:rStyle w:val="FootnoteReference"/>
          <w:sz w:val="20"/>
          <w:szCs w:val="20"/>
        </w:rPr>
        <w:footnoteRef/>
      </w:r>
      <w:r>
        <w:t xml:space="preserve"> </w:t>
      </w:r>
      <w:r>
        <w:rPr>
          <w:rFonts w:cs="B Zar"/>
          <w:color w:val="000000" w:themeColor="text1"/>
        </w:rPr>
        <w:t xml:space="preserve"> </w:t>
      </w:r>
      <w:proofErr w:type="gramStart"/>
      <w:r>
        <w:rPr>
          <w:rFonts w:cs="B Zar"/>
          <w:color w:val="000000" w:themeColor="text1"/>
        </w:rPr>
        <w:t>PCAOB</w:t>
      </w:r>
      <w:r>
        <w:t>(</w:t>
      </w:r>
      <w:proofErr w:type="gramEnd"/>
      <w:r>
        <w:t>Public Company Accounting Oversight Board)</w:t>
      </w:r>
    </w:p>
  </w:footnote>
  <w:footnote w:id="11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Kinney</w:t>
      </w:r>
    </w:p>
  </w:footnote>
  <w:footnote w:id="12">
    <w:p w:rsidR="00E91D8E" w:rsidRDefault="00E91D8E" w:rsidP="00E91D8E">
      <w:pPr>
        <w:pStyle w:val="a0"/>
        <w:rPr>
          <w:sz w:val="36"/>
          <w:szCs w:val="36"/>
        </w:rPr>
      </w:pPr>
      <w:r>
        <w:rPr>
          <w:rStyle w:val="FootnoteReference"/>
          <w:sz w:val="20"/>
          <w:szCs w:val="20"/>
        </w:rPr>
        <w:footnoteRef/>
      </w:r>
      <w:r>
        <w:t xml:space="preserve"> </w:t>
      </w:r>
      <w:r>
        <w:rPr>
          <w:rFonts w:cs="B Zar"/>
          <w:color w:val="000000" w:themeColor="text1"/>
        </w:rPr>
        <w:t xml:space="preserve"> </w:t>
      </w:r>
      <w:proofErr w:type="gramStart"/>
      <w:r>
        <w:rPr>
          <w:rFonts w:cs="B Zar"/>
          <w:color w:val="000000" w:themeColor="text1"/>
        </w:rPr>
        <w:t>AICPA</w:t>
      </w:r>
      <w:r>
        <w:t>(</w:t>
      </w:r>
      <w:proofErr w:type="gramEnd"/>
      <w:r>
        <w:t>American Institute of Certified Public Accountants)</w:t>
      </w:r>
    </w:p>
  </w:footnote>
  <w:footnote w:id="13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</w:t>
      </w:r>
      <w:proofErr w:type="gramStart"/>
      <w:r>
        <w:t>SOX(</w:t>
      </w:r>
      <w:proofErr w:type="gramEnd"/>
      <w:r>
        <w:rPr>
          <w:rStyle w:val="reference-text"/>
          <w:rFonts w:ascii="Times New Roman" w:hAnsi="Times New Roman" w:cs="Times New Roman"/>
        </w:rPr>
        <w:t>The Sarbanes–Oxley)</w:t>
      </w:r>
    </w:p>
  </w:footnote>
  <w:footnote w:id="14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Lucas</w:t>
      </w:r>
    </w:p>
  </w:footnote>
  <w:footnote w:id="15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Chen &amp; et.al</w:t>
      </w:r>
    </w:p>
  </w:footnote>
  <w:footnote w:id="16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</w:t>
      </w:r>
      <w:proofErr w:type="spellStart"/>
      <w:r>
        <w:t>Hoitash</w:t>
      </w:r>
      <w:proofErr w:type="spellEnd"/>
      <w:r>
        <w:t xml:space="preserve"> &amp; et.al</w:t>
      </w:r>
    </w:p>
  </w:footnote>
  <w:footnote w:id="17">
    <w:p w:rsidR="00E91D8E" w:rsidRDefault="00E91D8E" w:rsidP="00E91D8E">
      <w:pPr>
        <w:pStyle w:val="a0"/>
      </w:pPr>
      <w:r>
        <w:rPr>
          <w:rStyle w:val="FootnoteReference"/>
          <w:rFonts w:cs="Times New Roman"/>
        </w:rPr>
        <w:footnoteRef/>
      </w:r>
      <w:r>
        <w:t xml:space="preserve">  </w:t>
      </w:r>
      <w:proofErr w:type="spellStart"/>
      <w:r>
        <w:t>Ashbaugh-Skaife</w:t>
      </w:r>
      <w:proofErr w:type="spellEnd"/>
      <w:r>
        <w:t xml:space="preserve"> &amp; et.al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225E1"/>
    <w:multiLevelType w:val="multilevel"/>
    <w:tmpl w:val="CBC4D5C8"/>
    <w:lvl w:ilvl="0">
      <w:start w:val="1"/>
      <w:numFmt w:val="decimal"/>
      <w:lvlText w:val="%1-"/>
      <w:lvlJc w:val="left"/>
      <w:pPr>
        <w:ind w:left="660" w:hanging="660"/>
      </w:pPr>
    </w:lvl>
    <w:lvl w:ilvl="1">
      <w:start w:val="1"/>
      <w:numFmt w:val="decimal"/>
      <w:lvlText w:val="%1-%2-"/>
      <w:lvlJc w:val="left"/>
      <w:pPr>
        <w:ind w:left="720" w:hanging="720"/>
      </w:pPr>
    </w:lvl>
    <w:lvl w:ilvl="2">
      <w:start w:val="1"/>
      <w:numFmt w:val="decimal"/>
      <w:lvlText w:val="%1-%2-%3."/>
      <w:lvlJc w:val="left"/>
      <w:pPr>
        <w:ind w:left="720" w:hanging="720"/>
      </w:pPr>
    </w:lvl>
    <w:lvl w:ilvl="3">
      <w:start w:val="1"/>
      <w:numFmt w:val="decimal"/>
      <w:lvlText w:val="%1-%2-%3.%4."/>
      <w:lvlJc w:val="left"/>
      <w:pPr>
        <w:ind w:left="1080" w:hanging="1080"/>
      </w:pPr>
    </w:lvl>
    <w:lvl w:ilvl="4">
      <w:start w:val="1"/>
      <w:numFmt w:val="decimal"/>
      <w:lvlText w:val="%1-%2-%3.%4.%5."/>
      <w:lvlJc w:val="left"/>
      <w:pPr>
        <w:ind w:left="1080" w:hanging="1080"/>
      </w:pPr>
    </w:lvl>
    <w:lvl w:ilvl="5">
      <w:start w:val="1"/>
      <w:numFmt w:val="decimal"/>
      <w:lvlText w:val="%1-%2-%3.%4.%5.%6."/>
      <w:lvlJc w:val="left"/>
      <w:pPr>
        <w:ind w:left="1440" w:hanging="1440"/>
      </w:pPr>
    </w:lvl>
    <w:lvl w:ilvl="6">
      <w:start w:val="1"/>
      <w:numFmt w:val="decimal"/>
      <w:lvlText w:val="%1-%2-%3.%4.%5.%6.%7."/>
      <w:lvlJc w:val="left"/>
      <w:pPr>
        <w:ind w:left="1440" w:hanging="1440"/>
      </w:pPr>
    </w:lvl>
    <w:lvl w:ilvl="7">
      <w:start w:val="1"/>
      <w:numFmt w:val="decimal"/>
      <w:lvlText w:val="%1-%2-%3.%4.%5.%6.%7.%8."/>
      <w:lvlJc w:val="left"/>
      <w:pPr>
        <w:ind w:left="1800" w:hanging="1800"/>
      </w:pPr>
    </w:lvl>
    <w:lvl w:ilvl="8">
      <w:start w:val="1"/>
      <w:numFmt w:val="decimal"/>
      <w:lvlText w:val="%1-%2-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D8E"/>
    <w:rsid w:val="002E2428"/>
    <w:rsid w:val="005A626E"/>
    <w:rsid w:val="00734198"/>
    <w:rsid w:val="00E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DF5CC74E-70FF-471F-BDE4-B4B3D815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D8E"/>
    <w:pPr>
      <w:bidi/>
      <w:spacing w:after="200" w:line="276" w:lineRule="auto"/>
    </w:pPr>
    <w:rPr>
      <w:rFonts w:eastAsiaTheme="minorEastAsia"/>
    </w:rPr>
  </w:style>
  <w:style w:type="paragraph" w:styleId="Heading1">
    <w:name w:val="heading 1"/>
    <w:aliases w:val="Heading 1-تیتر اصلی,مطالب,عنوان بخش اصلي"/>
    <w:next w:val="Normal"/>
    <w:link w:val="Heading1Char"/>
    <w:qFormat/>
    <w:rsid w:val="00E91D8E"/>
    <w:pPr>
      <w:keepNext/>
      <w:bidi/>
      <w:spacing w:before="300" w:after="80" w:line="240" w:lineRule="auto"/>
      <w:jc w:val="lowKashida"/>
      <w:outlineLvl w:val="0"/>
    </w:pPr>
    <w:rPr>
      <w:rFonts w:ascii="Times" w:eastAsia="Times New Roman" w:hAnsi="Times" w:cs="B Lotus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تیتر اصلی Char,مطالب Char,عنوان بخش اصلي Char"/>
    <w:basedOn w:val="DefaultParagraphFont"/>
    <w:link w:val="Heading1"/>
    <w:rsid w:val="00E91D8E"/>
    <w:rPr>
      <w:rFonts w:ascii="Times" w:eastAsia="Times New Roman" w:hAnsi="Times" w:cs="B Lotus"/>
      <w:sz w:val="26"/>
      <w:szCs w:val="32"/>
    </w:rPr>
  </w:style>
  <w:style w:type="character" w:customStyle="1" w:styleId="TitleChar">
    <w:name w:val="Title Char"/>
    <w:aliases w:val="عنوان اصلي Char,متن پایان نامه Char"/>
    <w:basedOn w:val="DefaultParagraphFont"/>
    <w:link w:val="Title"/>
    <w:locked/>
    <w:rsid w:val="00E91D8E"/>
    <w:rPr>
      <w:rFonts w:ascii="Times New Roman" w:eastAsia="Times New Roman" w:hAnsi="Times New Roman" w:cs="B Titr"/>
      <w:b/>
      <w:bCs/>
      <w:sz w:val="36"/>
      <w:szCs w:val="56"/>
      <w:lang w:bidi="ar-SA"/>
    </w:rPr>
  </w:style>
  <w:style w:type="paragraph" w:styleId="Title">
    <w:name w:val="Title"/>
    <w:aliases w:val="عنوان اصلي,متن پایان نامه"/>
    <w:basedOn w:val="Normal"/>
    <w:link w:val="TitleChar"/>
    <w:qFormat/>
    <w:rsid w:val="00E91D8E"/>
    <w:pPr>
      <w:spacing w:after="300" w:line="240" w:lineRule="auto"/>
      <w:jc w:val="center"/>
    </w:pPr>
    <w:rPr>
      <w:rFonts w:ascii="Times New Roman" w:eastAsia="Times New Roman" w:hAnsi="Times New Roman" w:cs="B Titr"/>
      <w:b/>
      <w:bCs/>
      <w:sz w:val="36"/>
      <w:szCs w:val="56"/>
      <w:lang w:bidi="ar-SA"/>
    </w:rPr>
  </w:style>
  <w:style w:type="character" w:customStyle="1" w:styleId="TitleChar1">
    <w:name w:val="Title Char1"/>
    <w:basedOn w:val="DefaultParagraphFont"/>
    <w:uiPriority w:val="10"/>
    <w:rsid w:val="00E91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متن اصلی Char"/>
    <w:basedOn w:val="DefaultParagraphFont"/>
    <w:link w:val="a"/>
    <w:locked/>
    <w:rsid w:val="00E91D8E"/>
    <w:rPr>
      <w:rFonts w:ascii="Times New Roman" w:eastAsiaTheme="minorEastAsia" w:hAnsi="Times New Roman" w:cs="B Lotus"/>
      <w:color w:val="000000"/>
      <w:sz w:val="28"/>
      <w:szCs w:val="28"/>
    </w:rPr>
  </w:style>
  <w:style w:type="paragraph" w:customStyle="1" w:styleId="a">
    <w:name w:val="متن اصلی"/>
    <w:basedOn w:val="Normal"/>
    <w:link w:val="Char"/>
    <w:qFormat/>
    <w:rsid w:val="00E91D8E"/>
    <w:pPr>
      <w:spacing w:after="20" w:line="360" w:lineRule="auto"/>
      <w:ind w:firstLine="567"/>
      <w:jc w:val="both"/>
    </w:pPr>
    <w:rPr>
      <w:rFonts w:ascii="Times New Roman" w:hAnsi="Times New Roman" w:cs="B Lotus"/>
      <w:color w:val="000000"/>
      <w:sz w:val="28"/>
      <w:szCs w:val="28"/>
    </w:rPr>
  </w:style>
  <w:style w:type="character" w:customStyle="1" w:styleId="Char0">
    <w:name w:val="پاورقی من Char"/>
    <w:basedOn w:val="DefaultParagraphFont"/>
    <w:link w:val="a0"/>
    <w:locked/>
    <w:rsid w:val="00E91D8E"/>
    <w:rPr>
      <w:rFonts w:asciiTheme="majorBidi" w:eastAsiaTheme="minorEastAsia" w:hAnsiTheme="majorBidi" w:cs="B Lotus"/>
      <w:sz w:val="16"/>
      <w:szCs w:val="24"/>
      <w:lang w:bidi="ar-SA"/>
    </w:rPr>
  </w:style>
  <w:style w:type="paragraph" w:customStyle="1" w:styleId="a0">
    <w:name w:val="پاورقی من"/>
    <w:basedOn w:val="FootnoteText"/>
    <w:link w:val="Char0"/>
    <w:qFormat/>
    <w:rsid w:val="00E91D8E"/>
    <w:pPr>
      <w:bidi w:val="0"/>
    </w:pPr>
    <w:rPr>
      <w:rFonts w:asciiTheme="majorBidi" w:hAnsiTheme="majorBidi" w:cs="B Lotus"/>
      <w:sz w:val="16"/>
      <w:szCs w:val="24"/>
      <w:lang w:bidi="ar-SA"/>
    </w:rPr>
  </w:style>
  <w:style w:type="character" w:styleId="FootnoteReference">
    <w:name w:val="footnote reference"/>
    <w:aliases w:val="شماره زيرنويس,Footnote,مرجع پاورقي,Footnote text,Omid Footnote,ÔãÇÑå ÒíÑäæíÓ,Char Char1 Char,شماره زيرنويس1,شماره زيرنويس2,شماره زيرنويس3,شماره زيرنويس11,شماره زيرنويس21,شماره زيرنويس4,شماره زيرنويس12,شماره زيرنويس22,ماخذ"/>
    <w:basedOn w:val="DefaultParagraphFont"/>
    <w:semiHidden/>
    <w:unhideWhenUsed/>
    <w:qFormat/>
    <w:rsid w:val="00E91D8E"/>
    <w:rPr>
      <w:rFonts w:ascii="Times New Roman" w:hAnsi="Times New Roman" w:cstheme="majorBidi" w:hint="default"/>
      <w:szCs w:val="16"/>
      <w:vertAlign w:val="superscript"/>
    </w:rPr>
  </w:style>
  <w:style w:type="character" w:customStyle="1" w:styleId="reference-text">
    <w:name w:val="reference-text"/>
    <w:rsid w:val="00E91D8E"/>
  </w:style>
  <w:style w:type="character" w:styleId="Emphasis">
    <w:name w:val="Emphasis"/>
    <w:basedOn w:val="DefaultParagraphFont"/>
    <w:uiPriority w:val="20"/>
    <w:qFormat/>
    <w:rsid w:val="00E91D8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1D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1D8E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SAYMA SYSTEM</dc:creator>
  <cp:keywords/>
  <dc:description/>
  <cp:lastModifiedBy>SAYMA SYSTEM</cp:lastModifiedBy>
  <cp:revision>1</cp:revision>
  <dcterms:created xsi:type="dcterms:W3CDTF">2022-02-07T06:18:00Z</dcterms:created>
  <dcterms:modified xsi:type="dcterms:W3CDTF">2022-02-07T06:18:00Z</dcterms:modified>
</cp:coreProperties>
</file>